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F49A" w14:textId="77777777" w:rsidR="00AF0C7B" w:rsidRPr="00ED2BFC" w:rsidRDefault="00000000">
      <w:pPr>
        <w:pStyle w:val="Title"/>
        <w:rPr>
          <w:rFonts w:cstheme="majorHAnsi"/>
        </w:rPr>
      </w:pPr>
      <w:r w:rsidRPr="00ED2BFC">
        <w:rPr>
          <w:rFonts w:cstheme="majorHAnsi"/>
        </w:rPr>
        <w:t>From awareness to action</w:t>
      </w:r>
    </w:p>
    <w:p w14:paraId="1EC58859" w14:textId="2CCCD8E8" w:rsidR="00AF0C7B" w:rsidRPr="00ED2BFC" w:rsidRDefault="00000000">
      <w:pPr>
        <w:pStyle w:val="Subtitle"/>
        <w:rPr>
          <w:rFonts w:cstheme="majorHAnsi"/>
        </w:rPr>
      </w:pPr>
      <w:r w:rsidRPr="00ED2BFC">
        <w:rPr>
          <w:rFonts w:cstheme="majorHAnsi"/>
        </w:rPr>
        <w:t xml:space="preserve">A rapid, participatory health equity session with young volunteers in </w:t>
      </w:r>
      <w:r w:rsidR="00F72816">
        <w:rPr>
          <w:rFonts w:cstheme="majorHAnsi"/>
        </w:rPr>
        <w:t>Shaki</w:t>
      </w:r>
      <w:r w:rsidRPr="00ED2BFC">
        <w:rPr>
          <w:rFonts w:cstheme="majorHAnsi"/>
        </w:rPr>
        <w:t>, Azerbaijan</w:t>
      </w:r>
    </w:p>
    <w:p w14:paraId="1B0C6DFD" w14:textId="77777777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Dr Hande Harmancı  |  WHO Representative in Azerbaijan  |  16 October 2026</w:t>
      </w:r>
    </w:p>
    <w:p w14:paraId="46E44A77" w14:textId="77777777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Case study for the International Year of Volunteers for Sustainable Development (IVY 2026)</w:t>
      </w:r>
    </w:p>
    <w:p w14:paraId="3F09A2FA" w14:textId="77777777" w:rsidR="00AF0C7B" w:rsidRPr="00ED2BFC" w:rsidRDefault="00000000">
      <w:pPr>
        <w:pStyle w:val="Heading1"/>
        <w:rPr>
          <w:rFonts w:cstheme="majorHAnsi"/>
        </w:rPr>
      </w:pPr>
      <w:r w:rsidRPr="00ED2BFC">
        <w:rPr>
          <w:rFonts w:cstheme="majorHAnsi"/>
        </w:rPr>
        <w:t>At a glance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070"/>
        <w:gridCol w:w="7808"/>
      </w:tblGrid>
      <w:tr w:rsidR="00AF0C7B" w:rsidRPr="00ED2BFC" w14:paraId="08C8016B" w14:textId="77777777" w:rsidTr="005133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6FBE324D" w14:textId="77777777" w:rsidR="00AF0C7B" w:rsidRPr="00ED2BFC" w:rsidRDefault="00000000">
            <w:pPr>
              <w:rPr>
                <w:rFonts w:asciiTheme="majorHAnsi" w:hAnsiTheme="majorHAnsi" w:cstheme="majorHAnsi"/>
              </w:rPr>
            </w:pPr>
            <w:r w:rsidRPr="00ED2BFC">
              <w:rPr>
                <w:rFonts w:asciiTheme="majorHAnsi" w:hAnsiTheme="majorHAnsi" w:cstheme="majorHAnsi"/>
              </w:rPr>
              <w:t>Setting</w:t>
            </w:r>
          </w:p>
        </w:tc>
        <w:tc>
          <w:tcPr>
            <w:tcW w:w="7808" w:type="dxa"/>
          </w:tcPr>
          <w:p w14:paraId="6E9C99DF" w14:textId="1B6A8898" w:rsidR="00AF0C7B" w:rsidRPr="00ED2BFC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ED2BFC">
              <w:rPr>
                <w:rFonts w:asciiTheme="majorHAnsi" w:hAnsiTheme="majorHAnsi" w:cstheme="majorHAnsi"/>
              </w:rPr>
              <w:t xml:space="preserve">SDG Volunteer Camp, </w:t>
            </w:r>
            <w:r w:rsidR="00F72816">
              <w:rPr>
                <w:rFonts w:asciiTheme="majorHAnsi" w:hAnsiTheme="majorHAnsi" w:cstheme="majorHAnsi"/>
              </w:rPr>
              <w:t>Shaki</w:t>
            </w:r>
            <w:r w:rsidRPr="00ED2BFC">
              <w:rPr>
                <w:rFonts w:asciiTheme="majorHAnsi" w:hAnsiTheme="majorHAnsi" w:cstheme="majorHAnsi"/>
              </w:rPr>
              <w:t>, Azerbaijan</w:t>
            </w:r>
          </w:p>
        </w:tc>
      </w:tr>
      <w:tr w:rsidR="00AF0C7B" w:rsidRPr="00ED2BFC" w14:paraId="26A0A1F6" w14:textId="77777777" w:rsidTr="00513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7BEB0DA8" w14:textId="77777777" w:rsidR="00AF0C7B" w:rsidRPr="00ED2BFC" w:rsidRDefault="00000000">
            <w:pPr>
              <w:rPr>
                <w:rFonts w:asciiTheme="majorHAnsi" w:hAnsiTheme="majorHAnsi" w:cstheme="majorHAnsi"/>
              </w:rPr>
            </w:pPr>
            <w:r w:rsidRPr="00ED2BFC">
              <w:rPr>
                <w:rFonts w:asciiTheme="majorHAnsi" w:hAnsiTheme="majorHAnsi" w:cstheme="majorHAnsi"/>
              </w:rPr>
              <w:t>Audience</w:t>
            </w:r>
          </w:p>
        </w:tc>
        <w:tc>
          <w:tcPr>
            <w:tcW w:w="7808" w:type="dxa"/>
          </w:tcPr>
          <w:p w14:paraId="0377D12F" w14:textId="77777777" w:rsidR="00AF0C7B" w:rsidRPr="00ED2BF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ED2BFC">
              <w:rPr>
                <w:rFonts w:asciiTheme="majorHAnsi" w:hAnsiTheme="majorHAnsi" w:cstheme="majorHAnsi"/>
              </w:rPr>
              <w:t>Approximately 150 volunteers at the camp</w:t>
            </w:r>
          </w:p>
        </w:tc>
      </w:tr>
      <w:tr w:rsidR="00AF0C7B" w:rsidRPr="00ED2BFC" w14:paraId="7865A379" w14:textId="77777777" w:rsidTr="005133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7B722272" w14:textId="77777777" w:rsidR="00AF0C7B" w:rsidRPr="00ED2BFC" w:rsidRDefault="00000000">
            <w:pPr>
              <w:rPr>
                <w:rFonts w:asciiTheme="majorHAnsi" w:hAnsiTheme="majorHAnsi" w:cstheme="majorHAnsi"/>
              </w:rPr>
            </w:pPr>
            <w:r w:rsidRPr="00ED2BFC">
              <w:rPr>
                <w:rFonts w:asciiTheme="majorHAnsi" w:hAnsiTheme="majorHAnsi" w:cstheme="majorHAnsi"/>
              </w:rPr>
              <w:t>Activities</w:t>
            </w:r>
          </w:p>
        </w:tc>
        <w:tc>
          <w:tcPr>
            <w:tcW w:w="7808" w:type="dxa"/>
          </w:tcPr>
          <w:p w14:paraId="64A06593" w14:textId="77777777" w:rsidR="00AF0C7B" w:rsidRPr="00ED2BFC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ED2BFC">
              <w:rPr>
                <w:rFonts w:asciiTheme="majorHAnsi" w:hAnsiTheme="majorHAnsi" w:cstheme="majorHAnsi"/>
              </w:rPr>
              <w:t>Mobile survey, whole-room movement, six-character role-play, facilitated discussion</w:t>
            </w:r>
          </w:p>
        </w:tc>
      </w:tr>
      <w:tr w:rsidR="00AF0C7B" w:rsidRPr="00ED2BFC" w14:paraId="72139585" w14:textId="77777777" w:rsidTr="00513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6E3D4873" w14:textId="77777777" w:rsidR="00AF0C7B" w:rsidRPr="00ED2BFC" w:rsidRDefault="00000000">
            <w:pPr>
              <w:rPr>
                <w:rFonts w:asciiTheme="majorHAnsi" w:hAnsiTheme="majorHAnsi" w:cstheme="majorHAnsi"/>
              </w:rPr>
            </w:pPr>
            <w:r w:rsidRPr="00ED2BFC">
              <w:rPr>
                <w:rFonts w:asciiTheme="majorHAnsi" w:hAnsiTheme="majorHAnsi" w:cstheme="majorHAnsi"/>
              </w:rPr>
              <w:t>Survey</w:t>
            </w:r>
          </w:p>
        </w:tc>
        <w:tc>
          <w:tcPr>
            <w:tcW w:w="7808" w:type="dxa"/>
          </w:tcPr>
          <w:p w14:paraId="40114868" w14:textId="77777777" w:rsidR="00AF0C7B" w:rsidRPr="00ED2BF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ED2BFC">
              <w:rPr>
                <w:rFonts w:asciiTheme="majorHAnsi" w:hAnsiTheme="majorHAnsi" w:cstheme="majorHAnsi"/>
              </w:rPr>
              <w:t>81 responses in the exported dataset</w:t>
            </w:r>
          </w:p>
        </w:tc>
      </w:tr>
      <w:tr w:rsidR="00AF0C7B" w:rsidRPr="00ED2BFC" w14:paraId="6EBD63D8" w14:textId="77777777" w:rsidTr="005133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745C040D" w14:textId="77777777" w:rsidR="00AF0C7B" w:rsidRPr="00ED2BFC" w:rsidRDefault="00000000">
            <w:pPr>
              <w:rPr>
                <w:rFonts w:asciiTheme="majorHAnsi" w:hAnsiTheme="majorHAnsi" w:cstheme="majorHAnsi"/>
              </w:rPr>
            </w:pPr>
            <w:r w:rsidRPr="00ED2BFC">
              <w:rPr>
                <w:rFonts w:asciiTheme="majorHAnsi" w:hAnsiTheme="majorHAnsi" w:cstheme="majorHAnsi"/>
              </w:rPr>
              <w:t>Preparation</w:t>
            </w:r>
          </w:p>
        </w:tc>
        <w:tc>
          <w:tcPr>
            <w:tcW w:w="7808" w:type="dxa"/>
          </w:tcPr>
          <w:p w14:paraId="091466EE" w14:textId="77777777" w:rsidR="00AF0C7B" w:rsidRPr="00ED2BFC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ED2BFC">
              <w:rPr>
                <w:rFonts w:asciiTheme="majorHAnsi" w:hAnsiTheme="majorHAnsi" w:cstheme="majorHAnsi"/>
              </w:rPr>
              <w:t>Approximately one hour to design and publish the survey; other event coordination additional</w:t>
            </w:r>
          </w:p>
        </w:tc>
      </w:tr>
    </w:tbl>
    <w:p w14:paraId="72AC35D3" w14:textId="77777777" w:rsidR="00AF0C7B" w:rsidRPr="00ED2BFC" w:rsidRDefault="00000000">
      <w:pPr>
        <w:pStyle w:val="Heading1"/>
        <w:rPr>
          <w:rFonts w:cstheme="majorHAnsi"/>
        </w:rPr>
      </w:pPr>
      <w:r w:rsidRPr="00ED2BFC">
        <w:rPr>
          <w:rFonts w:cstheme="majorHAnsi"/>
        </w:rPr>
        <w:t>The unexpected outcome</w:t>
      </w:r>
    </w:p>
    <w:p w14:paraId="5399D045" w14:textId="755FEB92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Six volunteers stood in a line, each holding a fictional identity. They were all 18 years old, but their circumstances differed. I read six questions about access to healthcare, education, transport, economic security</w:t>
      </w:r>
      <w:r w:rsidR="0051339E">
        <w:rPr>
          <w:rFonts w:asciiTheme="majorHAnsi" w:hAnsiTheme="majorHAnsi" w:cstheme="majorHAnsi"/>
        </w:rPr>
        <w:t>,</w:t>
      </w:r>
      <w:r w:rsidRPr="00ED2BFC">
        <w:rPr>
          <w:rFonts w:asciiTheme="majorHAnsi" w:hAnsiTheme="majorHAnsi" w:cstheme="majorHAnsi"/>
        </w:rPr>
        <w:t xml:space="preserve"> and future opportunities. For each opportunity available to their character, they took a step forward.</w:t>
      </w:r>
    </w:p>
    <w:p w14:paraId="4ED7C134" w14:textId="10E173B0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 xml:space="preserve">I expected the wheelchair user to be left furthest behind. Instead, it was the character whose family had repeatedly moved </w:t>
      </w:r>
      <w:r w:rsidR="0051339E">
        <w:rPr>
          <w:rFonts w:asciiTheme="majorHAnsi" w:hAnsiTheme="majorHAnsi" w:cstheme="majorHAnsi"/>
        </w:rPr>
        <w:t>after being displaced</w:t>
      </w:r>
      <w:r w:rsidRPr="00ED2BFC">
        <w:rPr>
          <w:rFonts w:asciiTheme="majorHAnsi" w:hAnsiTheme="majorHAnsi" w:cstheme="majorHAnsi"/>
        </w:rPr>
        <w:t>. This surprised me—and reminded me why an activity like this must leave room for reflection, including on the facilitator’s own assumptions.</w:t>
      </w:r>
    </w:p>
    <w:p w14:paraId="461BD570" w14:textId="70B00061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 xml:space="preserve">The outcome </w:t>
      </w:r>
      <w:r w:rsidR="0051339E">
        <w:rPr>
          <w:rFonts w:asciiTheme="majorHAnsi" w:hAnsiTheme="majorHAnsi" w:cstheme="majorHAnsi"/>
        </w:rPr>
        <w:t>reflected</w:t>
      </w:r>
      <w:r w:rsidRPr="00ED2BFC">
        <w:rPr>
          <w:rFonts w:asciiTheme="majorHAnsi" w:hAnsiTheme="majorHAnsi" w:cstheme="majorHAnsi"/>
        </w:rPr>
        <w:t xml:space="preserve"> the fictional character cards and movement prompts, not a measurement showing that displacement causes greater disadvantage than disability. Nevertheless, the character resonated with Azerbaijan’s history. In 1994, UNHCR estimated that refugees and internally displaced people together represented 10–15% of the country’s population. Displacement remains an important part of the country’s social history. [1]</w:t>
      </w:r>
    </w:p>
    <w:p w14:paraId="34D7F298" w14:textId="45ECE775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 xml:space="preserve">The immediate lesson was not to rank disadvantage. It was to ask how multiple barriers combine—and why locally adapted examples can bring </w:t>
      </w:r>
      <w:r w:rsidR="0051339E">
        <w:rPr>
          <w:rFonts w:asciiTheme="majorHAnsi" w:hAnsiTheme="majorHAnsi" w:cstheme="majorHAnsi"/>
        </w:rPr>
        <w:t>equity questions</w:t>
      </w:r>
      <w:r w:rsidRPr="00ED2BFC">
        <w:rPr>
          <w:rFonts w:asciiTheme="majorHAnsi" w:hAnsiTheme="majorHAnsi" w:cstheme="majorHAnsi"/>
        </w:rPr>
        <w:t xml:space="preserve"> into sharper focus.</w:t>
      </w:r>
    </w:p>
    <w:p w14:paraId="5B8280F1" w14:textId="77777777" w:rsidR="00AF0C7B" w:rsidRPr="00ED2BFC" w:rsidRDefault="00000000">
      <w:pPr>
        <w:pStyle w:val="Heading1"/>
        <w:rPr>
          <w:rFonts w:cstheme="majorHAnsi"/>
        </w:rPr>
      </w:pPr>
      <w:r w:rsidRPr="00ED2BFC">
        <w:rPr>
          <w:rFonts w:cstheme="majorHAnsi"/>
        </w:rPr>
        <w:t>Why we tried this</w:t>
      </w:r>
    </w:p>
    <w:p w14:paraId="38998195" w14:textId="1C49FA10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The SDG Volunteer Camp brought young people together for practical learning about human development, inclusion, sustainable communities and volunteer-led action. I was invited to join a panel on human development and equal opportunities. My aim was to make health equity tangible</w:t>
      </w:r>
      <w:r w:rsidR="00E62A5E">
        <w:rPr>
          <w:rFonts w:asciiTheme="majorHAnsi" w:hAnsiTheme="majorHAnsi" w:cstheme="majorHAnsi"/>
        </w:rPr>
        <w:t>, not</w:t>
      </w:r>
      <w:r w:rsidRPr="00ED2BFC">
        <w:rPr>
          <w:rFonts w:asciiTheme="majorHAnsi" w:hAnsiTheme="majorHAnsi" w:cstheme="majorHAnsi"/>
        </w:rPr>
        <w:t xml:space="preserve"> present another set of definitions.</w:t>
      </w:r>
    </w:p>
    <w:p w14:paraId="740CF769" w14:textId="563F77D0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 xml:space="preserve">Three messages guided the session: “Talent is everywhere, but opportunity is not”; “Health creates opportunities, and opportunities create health”; and “Volunteering can be the beginning of leadership.” The larger challenge was to help participants move from </w:t>
      </w:r>
      <w:r w:rsidR="00E62A5E">
        <w:rPr>
          <w:rFonts w:asciiTheme="majorHAnsi" w:hAnsiTheme="majorHAnsi" w:cstheme="majorHAnsi"/>
        </w:rPr>
        <w:t>recognizing</w:t>
      </w:r>
      <w:r w:rsidRPr="00ED2BFC">
        <w:rPr>
          <w:rFonts w:asciiTheme="majorHAnsi" w:hAnsiTheme="majorHAnsi" w:cstheme="majorHAnsi"/>
        </w:rPr>
        <w:t xml:space="preserve"> barriers to discussing what they could change together.</w:t>
      </w:r>
    </w:p>
    <w:p w14:paraId="307C5F85" w14:textId="77777777" w:rsidR="00AF0C7B" w:rsidRPr="00ED2BFC" w:rsidRDefault="00000000">
      <w:pPr>
        <w:pStyle w:val="Heading1"/>
        <w:rPr>
          <w:rFonts w:cstheme="majorHAnsi"/>
        </w:rPr>
      </w:pPr>
      <w:r w:rsidRPr="00ED2BFC">
        <w:rPr>
          <w:rFonts w:cstheme="majorHAnsi"/>
        </w:rPr>
        <w:lastRenderedPageBreak/>
        <w:t>What we did—with minimal additional infrastructure</w:t>
      </w:r>
    </w:p>
    <w:p w14:paraId="2E694C35" w14:textId="77777777" w:rsidR="00AF0C7B" w:rsidRPr="00ED2BFC" w:rsidRDefault="00000000">
      <w:pPr>
        <w:pStyle w:val="Heading2"/>
        <w:rPr>
          <w:rFonts w:cstheme="majorHAnsi"/>
        </w:rPr>
      </w:pPr>
      <w:r w:rsidRPr="00ED2BFC">
        <w:rPr>
          <w:rFonts w:cstheme="majorHAnsi"/>
        </w:rPr>
        <w:t>1. An anonymous mobile survey</w:t>
      </w:r>
    </w:p>
    <w:p w14:paraId="189D4D65" w14:textId="77777777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I developed and published a nine-question survey in approximately one hour, from concept to live link. Two questions covered knowledge about health and equity; three asked about experiences of barriers; four covered basic demographics and living circumstances.</w:t>
      </w:r>
    </w:p>
    <w:p w14:paraId="65AEE1BF" w14:textId="2D46D151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 xml:space="preserve">I sent the link to my focal point. It went to 12 team leaders, who forwarded it to their teams through existing communication channels. We </w:t>
      </w:r>
      <w:r w:rsidR="00E62A5E">
        <w:rPr>
          <w:rFonts w:asciiTheme="majorHAnsi" w:hAnsiTheme="majorHAnsi" w:cstheme="majorHAnsi"/>
        </w:rPr>
        <w:t>didn't need a projected QR code or</w:t>
      </w:r>
      <w:r w:rsidRPr="00ED2BFC">
        <w:rPr>
          <w:rFonts w:asciiTheme="majorHAnsi" w:hAnsiTheme="majorHAnsi" w:cstheme="majorHAnsi"/>
        </w:rPr>
        <w:t xml:space="preserve"> a special registration process.</w:t>
      </w:r>
    </w:p>
    <w:p w14:paraId="01175639" w14:textId="366D7FDF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 xml:space="preserve">I explicitly told participants that responding was voluntary and anonymous. I invited everyone to stand while answering and sit when finished. This simple movement energised the room and gave me a visual sense of progress without requiring a screen. For future use, I would add that anyone choosing not to answer may also sit, so </w:t>
      </w:r>
      <w:r w:rsidR="00E62A5E">
        <w:rPr>
          <w:rFonts w:asciiTheme="majorHAnsi" w:hAnsiTheme="majorHAnsi" w:cstheme="majorHAnsi"/>
        </w:rPr>
        <w:t>nonparticipation isn't</w:t>
      </w:r>
      <w:r w:rsidRPr="00ED2BFC">
        <w:rPr>
          <w:rFonts w:asciiTheme="majorHAnsi" w:hAnsiTheme="majorHAnsi" w:cstheme="majorHAnsi"/>
        </w:rPr>
        <w:t xml:space="preserve"> visible or socially uncomfortable.</w:t>
      </w:r>
    </w:p>
    <w:p w14:paraId="77538984" w14:textId="77777777" w:rsidR="00AF0C7B" w:rsidRPr="00ED2BFC" w:rsidRDefault="00000000">
      <w:pPr>
        <w:pStyle w:val="Heading2"/>
        <w:rPr>
          <w:rFonts w:cstheme="majorHAnsi"/>
        </w:rPr>
      </w:pPr>
      <w:r w:rsidRPr="00ED2BFC">
        <w:rPr>
          <w:rFonts w:cstheme="majorHAnsi"/>
        </w:rPr>
        <w:t>2. A six-person “Take a Step Forward” activity</w:t>
      </w:r>
    </w:p>
    <w:p w14:paraId="5ACF91BA" w14:textId="3644B44E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I then invited six volunteers to the front. Each received a fictional profile—among them a financially secure city resident, a young person facing transport barriers, a wheelchair user, a young person with a history of displacement</w:t>
      </w:r>
      <w:r w:rsidR="00E62A5E">
        <w:rPr>
          <w:rFonts w:asciiTheme="majorHAnsi" w:hAnsiTheme="majorHAnsi" w:cstheme="majorHAnsi"/>
        </w:rPr>
        <w:t>,</w:t>
      </w:r>
      <w:r w:rsidRPr="00ED2BFC">
        <w:rPr>
          <w:rFonts w:asciiTheme="majorHAnsi" w:hAnsiTheme="majorHAnsi" w:cstheme="majorHAnsi"/>
        </w:rPr>
        <w:t xml:space="preserve"> and a student contributing to the family income. They answered the same six opportunity questions by moving forward or staying in place.</w:t>
      </w:r>
    </w:p>
    <w:p w14:paraId="68166CDA" w14:textId="7214728F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 xml:space="preserve">The widening distance between volunteers made one point immediately visible: none had been asked about intelligence, talent or determination, yet their prospects differed. </w:t>
      </w:r>
      <w:r w:rsidR="00E62A5E">
        <w:rPr>
          <w:rFonts w:asciiTheme="majorHAnsi" w:hAnsiTheme="majorHAnsi" w:cstheme="majorHAnsi"/>
        </w:rPr>
        <w:t>We adapted the activity</w:t>
      </w:r>
      <w:r w:rsidRPr="00ED2BFC">
        <w:rPr>
          <w:rFonts w:asciiTheme="majorHAnsi" w:hAnsiTheme="majorHAnsi" w:cstheme="majorHAnsi"/>
        </w:rPr>
        <w:t xml:space="preserve"> from the established “Take a Step Forward” human rights education method, not invented for this session. [2]</w:t>
      </w:r>
    </w:p>
    <w:p w14:paraId="3F5AD0B2" w14:textId="77777777" w:rsidR="00AF0C7B" w:rsidRPr="00ED2BFC" w:rsidRDefault="00000000">
      <w:pPr>
        <w:pStyle w:val="Heading2"/>
        <w:rPr>
          <w:rFonts w:cstheme="majorHAnsi"/>
        </w:rPr>
      </w:pPr>
      <w:r w:rsidRPr="00ED2BFC">
        <w:rPr>
          <w:rFonts w:cstheme="majorHAnsi"/>
        </w:rPr>
        <w:t>3. Reflection and solutions</w:t>
      </w:r>
    </w:p>
    <w:p w14:paraId="1A050CEA" w14:textId="6BF294E1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We discussed why some fictional characters had advanced</w:t>
      </w:r>
      <w:r w:rsidR="0068359E">
        <w:rPr>
          <w:rFonts w:asciiTheme="majorHAnsi" w:hAnsiTheme="majorHAnsi" w:cstheme="majorHAnsi"/>
        </w:rPr>
        <w:t>,</w:t>
      </w:r>
      <w:r w:rsidRPr="00ED2BFC">
        <w:rPr>
          <w:rFonts w:asciiTheme="majorHAnsi" w:hAnsiTheme="majorHAnsi" w:cstheme="majorHAnsi"/>
        </w:rPr>
        <w:t xml:space="preserve"> and others had not, how everyday conditions shape health, and what could remove some of these barriers. The conversation linked education, transport, economic security, inclusion</w:t>
      </w:r>
      <w:r w:rsidR="0068359E">
        <w:rPr>
          <w:rFonts w:asciiTheme="majorHAnsi" w:hAnsiTheme="majorHAnsi" w:cstheme="majorHAnsi"/>
        </w:rPr>
        <w:t>,</w:t>
      </w:r>
      <w:r w:rsidRPr="00ED2BFC">
        <w:rPr>
          <w:rFonts w:asciiTheme="majorHAnsi" w:hAnsiTheme="majorHAnsi" w:cstheme="majorHAnsi"/>
        </w:rPr>
        <w:t xml:space="preserve"> and healthcare with health outcomes. I invited participants to consider moving beyond immediate help towards addressing causes: “Don’t just ask, ‘How can I help?’ Ask, ‘What can we change together?’”</w:t>
      </w:r>
    </w:p>
    <w:p w14:paraId="4ECD3517" w14:textId="77777777" w:rsidR="00AF0C7B" w:rsidRPr="00ED2BFC" w:rsidRDefault="00000000">
      <w:pPr>
        <w:pStyle w:val="Heading1"/>
        <w:rPr>
          <w:rFonts w:cstheme="majorHAnsi"/>
        </w:rPr>
      </w:pPr>
      <w:r w:rsidRPr="00ED2BFC">
        <w:rPr>
          <w:rFonts w:cstheme="majorHAnsi"/>
        </w:rPr>
        <w:t>What the 81 survey responses told us</w:t>
      </w:r>
    </w:p>
    <w:p w14:paraId="317A8328" w14:textId="1B1AAD86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 xml:space="preserve">The rapid poll was a convenience sample of event attendees, not a population survey. </w:t>
      </w:r>
      <w:r w:rsidR="0068359E">
        <w:rPr>
          <w:rFonts w:asciiTheme="majorHAnsi" w:hAnsiTheme="majorHAnsi" w:cstheme="majorHAnsi"/>
        </w:rPr>
        <w:t xml:space="preserve">We reviewed the results </w:t>
      </w:r>
      <w:r w:rsidRPr="00ED2BFC">
        <w:rPr>
          <w:rFonts w:asciiTheme="majorHAnsi" w:hAnsiTheme="majorHAnsi" w:cstheme="majorHAnsi"/>
        </w:rPr>
        <w:t>after the session, and denominators differ where respondents skipped a question or selected a non-substantive option.</w:t>
      </w:r>
    </w:p>
    <w:p w14:paraId="44065A2A" w14:textId="1291ED46" w:rsidR="00AF0C7B" w:rsidRPr="00ED2BFC" w:rsidRDefault="00000000">
      <w:pPr>
        <w:pStyle w:val="ListBullet"/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 xml:space="preserve">61/81 (75.3%) </w:t>
      </w:r>
      <w:r w:rsidR="0068359E">
        <w:rPr>
          <w:rFonts w:asciiTheme="majorHAnsi" w:hAnsiTheme="majorHAnsi" w:cstheme="majorHAnsi"/>
        </w:rPr>
        <w:t>recognized</w:t>
      </w:r>
      <w:r w:rsidRPr="00ED2BFC">
        <w:rPr>
          <w:rFonts w:asciiTheme="majorHAnsi" w:hAnsiTheme="majorHAnsi" w:cstheme="majorHAnsi"/>
        </w:rPr>
        <w:t xml:space="preserve"> that health is influenced by both social and medical factors.</w:t>
      </w:r>
    </w:p>
    <w:p w14:paraId="42BDE5C8" w14:textId="77777777" w:rsidR="00AF0C7B" w:rsidRPr="00ED2BFC" w:rsidRDefault="00000000">
      <w:pPr>
        <w:pStyle w:val="ListBullet"/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36/79 (45.6%) correctly defined health equity as removing unjust barriers; 40/79 (50.6%) instead selected providing the same services to everyone.</w:t>
      </w:r>
    </w:p>
    <w:p w14:paraId="0A251269" w14:textId="7BC720B5" w:rsidR="00AF0C7B" w:rsidRPr="00ED2BFC" w:rsidRDefault="00000000">
      <w:pPr>
        <w:pStyle w:val="ListBullet"/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35/60 (58.3%) of those answering yes/no and reporting a need for care said financial, distance</w:t>
      </w:r>
      <w:r w:rsidR="0068359E">
        <w:rPr>
          <w:rFonts w:asciiTheme="majorHAnsi" w:hAnsiTheme="majorHAnsi" w:cstheme="majorHAnsi"/>
        </w:rPr>
        <w:t>,</w:t>
      </w:r>
      <w:r w:rsidRPr="00ED2BFC">
        <w:rPr>
          <w:rFonts w:asciiTheme="majorHAnsi" w:hAnsiTheme="majorHAnsi" w:cstheme="majorHAnsi"/>
        </w:rPr>
        <w:t xml:space="preserve"> or transport barriers had prevented a doctor visit within the previous 12 months. Another 19 reported no need for a doctor; two declined to answer.</w:t>
      </w:r>
    </w:p>
    <w:p w14:paraId="4B3FF713" w14:textId="77777777" w:rsidR="00AF0C7B" w:rsidRPr="00ED2BFC" w:rsidRDefault="00000000">
      <w:pPr>
        <w:pStyle w:val="ListBullet"/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45/72 (62.5%) giving substantive answers reported sometimes or frequently foregoing education, sport or healthy-living activities due to financial constraints.</w:t>
      </w:r>
    </w:p>
    <w:p w14:paraId="6FF65ED4" w14:textId="77777777" w:rsidR="00AF0C7B" w:rsidRPr="00ED2BFC" w:rsidRDefault="00000000">
      <w:pPr>
        <w:pStyle w:val="ListBullet"/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35/80 (43.8%) reported that shortcomings in their physical environment had hindered physical activity; the denominator includes respondents who were unsure or preferred not to answer, so this is a share of all recorded answers, not only yes/no answers.</w:t>
      </w:r>
    </w:p>
    <w:p w14:paraId="59A0DD6E" w14:textId="602717A6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 xml:space="preserve">These results offered discussion material, particularly the contrast between </w:t>
      </w:r>
      <w:r w:rsidR="0068359E">
        <w:rPr>
          <w:rFonts w:asciiTheme="majorHAnsi" w:hAnsiTheme="majorHAnsi" w:cstheme="majorHAnsi"/>
        </w:rPr>
        <w:t>recognizing</w:t>
      </w:r>
      <w:r w:rsidRPr="00ED2BFC">
        <w:rPr>
          <w:rFonts w:asciiTheme="majorHAnsi" w:hAnsiTheme="majorHAnsi" w:cstheme="majorHAnsi"/>
        </w:rPr>
        <w:t xml:space="preserve"> that health has social determinants and identifying what equity requires. They do not demonstrate an effect of the session: there was no pre/post assessment, and the questions were not a validated instrument.</w:t>
      </w:r>
    </w:p>
    <w:p w14:paraId="0B5BACE4" w14:textId="77777777" w:rsidR="00AF0C7B" w:rsidRPr="00ED2BFC" w:rsidRDefault="00000000">
      <w:pPr>
        <w:pStyle w:val="Heading1"/>
        <w:rPr>
          <w:rFonts w:cstheme="majorHAnsi"/>
        </w:rPr>
      </w:pPr>
      <w:r w:rsidRPr="00ED2BFC">
        <w:rPr>
          <w:rFonts w:cstheme="majorHAnsi"/>
        </w:rPr>
        <w:lastRenderedPageBreak/>
        <w:t>What did not go to plan</w:t>
      </w:r>
    </w:p>
    <w:p w14:paraId="570457D5" w14:textId="1D44B433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I had hoped to use the survey results to enrich the live discussion. But I had not assigned anyone to check the incoming data, verify the headline figures</w:t>
      </w:r>
      <w:r w:rsidR="0068359E">
        <w:rPr>
          <w:rFonts w:asciiTheme="majorHAnsi" w:hAnsiTheme="majorHAnsi" w:cstheme="majorHAnsi"/>
        </w:rPr>
        <w:t>,</w:t>
      </w:r>
      <w:r w:rsidRPr="00ED2BFC">
        <w:rPr>
          <w:rFonts w:asciiTheme="majorHAnsi" w:hAnsiTheme="majorHAnsi" w:cstheme="majorHAnsi"/>
        </w:rPr>
        <w:t xml:space="preserve"> and pass them to me during the session. I therefore saw the findings only </w:t>
      </w:r>
      <w:r w:rsidR="0068359E">
        <w:rPr>
          <w:rFonts w:asciiTheme="majorHAnsi" w:hAnsiTheme="majorHAnsi" w:cstheme="majorHAnsi"/>
        </w:rPr>
        <w:t>afterward</w:t>
      </w:r>
      <w:r w:rsidRPr="00ED2BFC">
        <w:rPr>
          <w:rFonts w:asciiTheme="majorHAnsi" w:hAnsiTheme="majorHAnsi" w:cstheme="majorHAnsi"/>
        </w:rPr>
        <w:t xml:space="preserve">. I shared them with the </w:t>
      </w:r>
      <w:r w:rsidR="0068359E">
        <w:rPr>
          <w:rFonts w:asciiTheme="majorHAnsi" w:hAnsiTheme="majorHAnsi" w:cstheme="majorHAnsi"/>
        </w:rPr>
        <w:t>organizers</w:t>
      </w:r>
      <w:r w:rsidRPr="00ED2BFC">
        <w:rPr>
          <w:rFonts w:asciiTheme="majorHAnsi" w:hAnsiTheme="majorHAnsi" w:cstheme="majorHAnsi"/>
        </w:rPr>
        <w:t xml:space="preserve"> for onward distribution to participants; I have not verified whether every participant received them.</w:t>
      </w:r>
    </w:p>
    <w:p w14:paraId="5CAA5846" w14:textId="2EAA05D0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 xml:space="preserve">This was a missed opportunity—but also a practical design lesson. Gathering opinions </w:t>
      </w:r>
      <w:r w:rsidR="00F5098A">
        <w:rPr>
          <w:rFonts w:asciiTheme="majorHAnsi" w:hAnsiTheme="majorHAnsi" w:cstheme="majorHAnsi"/>
        </w:rPr>
        <w:t>alone does not</w:t>
      </w:r>
      <w:r w:rsidRPr="00ED2BFC">
        <w:rPr>
          <w:rFonts w:asciiTheme="majorHAnsi" w:hAnsiTheme="majorHAnsi" w:cstheme="majorHAnsi"/>
        </w:rPr>
        <w:t xml:space="preserve"> complete the participation cycle. People should be able to see and discuss what their contributions reveal. A support person equipped with a phone and a short tally could have relayed two or three aggregate findings even without a projection screen.</w:t>
      </w:r>
    </w:p>
    <w:p w14:paraId="0E0963BA" w14:textId="62054362" w:rsidR="00AF0C7B" w:rsidRPr="00ED2BFC" w:rsidRDefault="00000000">
      <w:pPr>
        <w:pStyle w:val="Heading1"/>
        <w:rPr>
          <w:rFonts w:cstheme="majorHAnsi"/>
        </w:rPr>
      </w:pPr>
      <w:r w:rsidRPr="00ED2BFC">
        <w:rPr>
          <w:rFonts w:cstheme="majorHAnsi"/>
        </w:rPr>
        <w:t xml:space="preserve">What other volunteer </w:t>
      </w:r>
      <w:r w:rsidR="00F5098A">
        <w:rPr>
          <w:rFonts w:cstheme="majorHAnsi"/>
        </w:rPr>
        <w:t>organizers</w:t>
      </w:r>
      <w:r w:rsidRPr="00ED2BFC">
        <w:rPr>
          <w:rFonts w:cstheme="majorHAnsi"/>
        </w:rPr>
        <w:t xml:space="preserve"> can take from </w:t>
      </w:r>
      <w:r w:rsidR="00F72816">
        <w:rPr>
          <w:rFonts w:cstheme="majorHAnsi"/>
        </w:rPr>
        <w:t>Shaki</w:t>
      </w:r>
    </w:p>
    <w:p w14:paraId="1943986F" w14:textId="77777777" w:rsidR="00AF0C7B" w:rsidRPr="00ED2BFC" w:rsidRDefault="00000000">
      <w:pPr>
        <w:pStyle w:val="ListBullet"/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Use established team communication networks to distribute a short, anonymous survey quickly; one focal point and team leads may be sufficient.</w:t>
      </w:r>
    </w:p>
    <w:p w14:paraId="513BA733" w14:textId="69876407" w:rsidR="00AF0C7B" w:rsidRPr="00ED2BFC" w:rsidRDefault="00000000">
      <w:pPr>
        <w:pStyle w:val="ListBullet"/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 xml:space="preserve">Introduce an optional stand-and-sit transition to </w:t>
      </w:r>
      <w:r w:rsidR="00F5098A">
        <w:rPr>
          <w:rFonts w:asciiTheme="majorHAnsi" w:hAnsiTheme="majorHAnsi" w:cstheme="majorHAnsi"/>
        </w:rPr>
        <w:t>energize</w:t>
      </w:r>
      <w:r w:rsidRPr="00ED2BFC">
        <w:rPr>
          <w:rFonts w:asciiTheme="majorHAnsi" w:hAnsiTheme="majorHAnsi" w:cstheme="majorHAnsi"/>
        </w:rPr>
        <w:t xml:space="preserve"> a large group, while protecting the choice not to respond and accommodating people who prefer to remain seated.</w:t>
      </w:r>
    </w:p>
    <w:p w14:paraId="788A374D" w14:textId="77777777" w:rsidR="00AF0C7B" w:rsidRPr="00ED2BFC" w:rsidRDefault="00000000">
      <w:pPr>
        <w:pStyle w:val="ListBullet"/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Adapt fictional profiles to the local context, but do not treat where characters finish as an empirical comparison of actual groups.</w:t>
      </w:r>
    </w:p>
    <w:p w14:paraId="697874C3" w14:textId="77777777" w:rsidR="00AF0C7B" w:rsidRPr="00ED2BFC" w:rsidRDefault="00000000">
      <w:pPr>
        <w:pStyle w:val="ListBullet"/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Allow time to ask what creates the barriers and what volunteers could change collectively with affected communities.</w:t>
      </w:r>
    </w:p>
    <w:p w14:paraId="4D245D57" w14:textId="77777777" w:rsidR="00AF0C7B" w:rsidRPr="00ED2BFC" w:rsidRDefault="00000000">
      <w:pPr>
        <w:pStyle w:val="ListBullet"/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Assign responsibility for live results—or explicitly plan a post-session feedback channel—before the activity begins.</w:t>
      </w:r>
    </w:p>
    <w:p w14:paraId="071DC028" w14:textId="77777777" w:rsidR="00AF0C7B" w:rsidRPr="00ED2BFC" w:rsidRDefault="00000000">
      <w:pPr>
        <w:pStyle w:val="ListBullet"/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Keep the claims modest: the method illustrated issues and stimulated discussion, but learning gains and subsequent action were not formally measured.</w:t>
      </w:r>
    </w:p>
    <w:p w14:paraId="1B616113" w14:textId="77777777" w:rsidR="00AF0C7B" w:rsidRPr="00ED2BFC" w:rsidRDefault="00000000">
      <w:pPr>
        <w:pStyle w:val="Heading1"/>
        <w:rPr>
          <w:rFonts w:cstheme="majorHAnsi"/>
        </w:rPr>
      </w:pPr>
      <w:r w:rsidRPr="00ED2BFC">
        <w:rPr>
          <w:rFonts w:cstheme="majorHAnsi"/>
        </w:rPr>
        <w:t>A small activity with a larger purpose</w:t>
      </w:r>
    </w:p>
    <w:p w14:paraId="01D5E5A1" w14:textId="636B79EC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 xml:space="preserve">The </w:t>
      </w:r>
      <w:r w:rsidR="00F72816">
        <w:rPr>
          <w:rFonts w:asciiTheme="majorHAnsi" w:hAnsiTheme="majorHAnsi" w:cstheme="majorHAnsi"/>
        </w:rPr>
        <w:t>Shaki</w:t>
      </w:r>
      <w:r w:rsidRPr="00ED2BFC">
        <w:rPr>
          <w:rFonts w:asciiTheme="majorHAnsi" w:hAnsiTheme="majorHAnsi" w:cstheme="majorHAnsi"/>
        </w:rPr>
        <w:t xml:space="preserve"> experience required </w:t>
      </w:r>
      <w:r w:rsidR="00F5098A">
        <w:rPr>
          <w:rFonts w:asciiTheme="majorHAnsi" w:hAnsiTheme="majorHAnsi" w:cstheme="majorHAnsi"/>
        </w:rPr>
        <w:t>little technology or extra preparation, yet it offered multiple ways for young people to participate: answering a survey, moving through an imagined set of opportunities, examining their assumptions,</w:t>
      </w:r>
      <w:r w:rsidRPr="00ED2BFC">
        <w:rPr>
          <w:rFonts w:asciiTheme="majorHAnsi" w:hAnsiTheme="majorHAnsi" w:cstheme="majorHAnsi"/>
        </w:rPr>
        <w:t xml:space="preserve"> and discussing practical solutions.</w:t>
      </w:r>
    </w:p>
    <w:p w14:paraId="05D70F28" w14:textId="77777777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Its value was not a novel survey or a novel role-play. It was the combination of a few accessible methods around a clear public health narrative, and the reminder that a facilitator can learn something unexpected too.</w:t>
      </w:r>
    </w:p>
    <w:p w14:paraId="266D37D1" w14:textId="77777777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Understanding inequality is the beginning. Changing the conditions that produce it is the goal.</w:t>
      </w:r>
    </w:p>
    <w:p w14:paraId="470325EE" w14:textId="466CC55A" w:rsidR="00AF0C7B" w:rsidRPr="00ED2BFC" w:rsidRDefault="00F5098A">
      <w:pPr>
        <w:pStyle w:val="Heading1"/>
        <w:rPr>
          <w:rFonts w:cstheme="majorHAnsi"/>
        </w:rPr>
      </w:pPr>
      <w:r>
        <w:rPr>
          <w:rFonts w:cstheme="majorHAnsi"/>
        </w:rPr>
        <w:t>Acknowledgments</w:t>
      </w:r>
      <w:r w:rsidR="00000000" w:rsidRPr="00ED2BFC">
        <w:rPr>
          <w:rFonts w:cstheme="majorHAnsi"/>
        </w:rPr>
        <w:t xml:space="preserve"> and references</w:t>
      </w:r>
    </w:p>
    <w:p w14:paraId="0AF38B9E" w14:textId="1E02AF80" w:rsidR="002035CA" w:rsidRPr="00ED2BFC" w:rsidRDefault="002035CA" w:rsidP="002035CA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 xml:space="preserve">The activity </w:t>
      </w:r>
      <w:r w:rsidR="00F72816">
        <w:rPr>
          <w:rFonts w:asciiTheme="majorHAnsi" w:hAnsiTheme="majorHAnsi" w:cstheme="majorHAnsi"/>
        </w:rPr>
        <w:t>took place during the SDG Volunteer Camp, organized by the Azerbaijan Volunteer Organizations Union (AKTİ), with support from</w:t>
      </w:r>
      <w:r w:rsidRPr="00ED2BFC">
        <w:rPr>
          <w:rFonts w:asciiTheme="majorHAnsi" w:hAnsiTheme="majorHAnsi" w:cstheme="majorHAnsi"/>
        </w:rPr>
        <w:t xml:space="preserve"> the Ministry of Youth and Sports of the Republic of Azerbaijan and the Azerbaijan Youth Foundation.</w:t>
      </w:r>
    </w:p>
    <w:p w14:paraId="6059B2AD" w14:textId="77777777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[1] UNHCR. “Conflict in the Caucasus.” Refugees Magazine, Issue 98 (1994). https://www.unhcr.org/africa/publications/refugees-magazine-issue-98-after-soviet-union-conflict-caucasus</w:t>
      </w:r>
    </w:p>
    <w:p w14:paraId="6C287E79" w14:textId="77777777" w:rsidR="00AF0C7B" w:rsidRPr="00ED2BFC" w:rsidRDefault="00000000">
      <w:pPr>
        <w:rPr>
          <w:rFonts w:asciiTheme="majorHAnsi" w:hAnsiTheme="majorHAnsi" w:cstheme="majorHAnsi"/>
        </w:rPr>
      </w:pPr>
      <w:r w:rsidRPr="00ED2BFC">
        <w:rPr>
          <w:rFonts w:asciiTheme="majorHAnsi" w:hAnsiTheme="majorHAnsi" w:cstheme="majorHAnsi"/>
        </w:rPr>
        <w:t>[2] Council of Europe. Compass: Manual for Human Rights Education with Young People, “Take a Step Forward.” https://www.coe.int/en/web/compass/take-a-step-forward</w:t>
      </w:r>
    </w:p>
    <w:sectPr w:rsidR="00AF0C7B" w:rsidRPr="00ED2BFC" w:rsidSect="00034616">
      <w:footerReference w:type="default" r:id="rId8"/>
      <w:pgSz w:w="12240" w:h="15840"/>
      <w:pgMar w:top="1080" w:right="1181" w:bottom="936" w:left="1181" w:header="504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326B7" w14:textId="77777777" w:rsidR="000E0E8B" w:rsidRDefault="000E0E8B">
      <w:pPr>
        <w:spacing w:after="0" w:line="240" w:lineRule="auto"/>
      </w:pPr>
      <w:r>
        <w:separator/>
      </w:r>
    </w:p>
  </w:endnote>
  <w:endnote w:type="continuationSeparator" w:id="0">
    <w:p w14:paraId="1E6A11A4" w14:textId="77777777" w:rsidR="000E0E8B" w:rsidRDefault="000E0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257C0" w14:textId="77777777" w:rsidR="00AF0C7B" w:rsidRDefault="00000000">
    <w:pPr>
      <w:pStyle w:val="Footer"/>
      <w:jc w:val="center"/>
    </w:pPr>
    <w:proofErr w:type="spellStart"/>
    <w:r>
      <w:t>Şəki</w:t>
    </w:r>
    <w:proofErr w:type="spellEnd"/>
    <w:r>
      <w:t xml:space="preserve"> youth health equity case study •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23E9D" w14:textId="77777777" w:rsidR="000E0E8B" w:rsidRDefault="000E0E8B">
      <w:pPr>
        <w:spacing w:after="0" w:line="240" w:lineRule="auto"/>
      </w:pPr>
      <w:r>
        <w:separator/>
      </w:r>
    </w:p>
  </w:footnote>
  <w:footnote w:type="continuationSeparator" w:id="0">
    <w:p w14:paraId="1A332A02" w14:textId="77777777" w:rsidR="000E0E8B" w:rsidRDefault="000E0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7861561">
    <w:abstractNumId w:val="8"/>
  </w:num>
  <w:num w:numId="2" w16cid:durableId="839001375">
    <w:abstractNumId w:val="6"/>
  </w:num>
  <w:num w:numId="3" w16cid:durableId="2088186728">
    <w:abstractNumId w:val="5"/>
  </w:num>
  <w:num w:numId="4" w16cid:durableId="1333994228">
    <w:abstractNumId w:val="4"/>
  </w:num>
  <w:num w:numId="5" w16cid:durableId="1812282582">
    <w:abstractNumId w:val="7"/>
  </w:num>
  <w:num w:numId="6" w16cid:durableId="1946187870">
    <w:abstractNumId w:val="3"/>
  </w:num>
  <w:num w:numId="7" w16cid:durableId="2090150144">
    <w:abstractNumId w:val="2"/>
  </w:num>
  <w:num w:numId="8" w16cid:durableId="1456824477">
    <w:abstractNumId w:val="1"/>
  </w:num>
  <w:num w:numId="9" w16cid:durableId="387650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0E8B"/>
    <w:rsid w:val="0015074B"/>
    <w:rsid w:val="002035CA"/>
    <w:rsid w:val="0029639D"/>
    <w:rsid w:val="00326F90"/>
    <w:rsid w:val="004B42EC"/>
    <w:rsid w:val="0051339E"/>
    <w:rsid w:val="0068359E"/>
    <w:rsid w:val="00AA1D8D"/>
    <w:rsid w:val="00AF0C7B"/>
    <w:rsid w:val="00B47730"/>
    <w:rsid w:val="00CB0664"/>
    <w:rsid w:val="00E62A5E"/>
    <w:rsid w:val="00ED2BFC"/>
    <w:rsid w:val="00F5098A"/>
    <w:rsid w:val="00F728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4576E3"/>
  <w14:defaultImageDpi w14:val="300"/>
  <w15:docId w15:val="{6FAEC350-79E9-47C5-ABE4-14A6A510C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A4E63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A4E6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A3B4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1340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HARMANCI, Fatos Hande</cp:lastModifiedBy>
  <cp:revision>8</cp:revision>
  <dcterms:created xsi:type="dcterms:W3CDTF">2026-10-19T07:50:00Z</dcterms:created>
  <dcterms:modified xsi:type="dcterms:W3CDTF">2026-10-19T08:24:00Z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7ef9161d0a96fcc3d4fcc8ec26602effa0b2f851bb64927a4171a57ff1400940</vt:lpwstr>
  </property>
</Properties>
</file>